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Амурской области от 24.09.2019 в удовлетворении требований отказано. Постановлением Шестого арбитражного апелляционного суда от 23.12.2019 решение суда первой инстанции отменено, требования удовлетворены. Постановлением Арбитражного суда Дальневосточного округа от 24.03.2020 постановление суда апелляционной инстанции отменено, решение суда первой инстанции оставлено в силе.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Суд округа отменил постановление суда апелляционной инстанции, оставил в силе решение суда первой инстанции, руководствуясь положениями статей 469 , 520 , 523 Гражданского кодекса Российской Федерации и исходя из установленным судом первой инстанции обстоятельств нарушения обществом условий контракта и невозможности использования товара по назначению, без учета которых суд апелляционной инстанции удовлетворил требования общества. При этом суд округа указал, что учитывая специфику товара (дорожные знаки), используемого в целях организации и обеспечения безопасности дорожного движения, требования к такому товару являются обязательными и не могут допускать вариативности по соглашению сторон, о чем общество как поставщик товара, обладающего обозначенными характеристиками, не может быть не осведомлено.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"СДК" (подробнее) Ответчики: МКП г.Благовещенска "ГСТК" (подробнее) Иные лица: АНО "Хабаровская судебная экспертиза"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