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19.05.2020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В обоснование ходатайства ссылается на ограничительные меры, введенные с 30.03.2020 в целях противодействия распространению новой коронавирусной инфекции (COVID-19) и режим самоизоляции.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«СтройИнвест»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"Строительная компания "Стройинвест" (подробнее) Ответчики: ГОСУДАРСТВЕННОЕ БЮДЖЕТНОЕ УЧРЕЖДЕНИЕ ПЕРМСКОГО КРАЯ "ЧУСОВСКОЙ ЛЕСХОЗ" (подробнее) Судьи дела: Першутов А.Г. (судья) (подробнее) Последние документы по делу: Определение от 15 июля 2020 г. по делу № А50-36698/2018 Определение от 26 мая 2020 г. по делу № А50-36698/2018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