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и порядок восстановления срока подачи кассационной жалобы установлены положениями статьи 117, пунктов 2, 3 статьи 291.2 Арбитражного процессуального кодекса Российской Федерации. Оценив доводы, изложенные в ходатайстве заявителя, судья находит их обоснованными, а ходатайство – подлежащим удовлетворению. Руководствуясь статьями 117, 184,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«ТОМА» удовлетворить. Срок подачи кассационной жалобы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