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19.03.2020 (согласно оттиску штампа на почтовом конверте) направило в Верховный Суд Российской Федерации кассационную жалобу и одновременно заявило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причины пропуска процессуального срока, учитывая незначительность пропуска срока (один день),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«МПЗ Авангард»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ООО "МПЗ АВАНГАРД" (подробнее) Ответчики: ГУ ЧРО ФСС РФ Филиал №4 (подробнее) Судьи дела: Першутов А.Г. (судья) (подробнее) Последние документы по делу: Определение от 15 июля 2020 г. по делу № А76-15169/2019 Определение от 16 июня 2020 г. по делу № А76-15169/2019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