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28.11.2019, оставленным без изменения постановлением Десятого арбитражного апелляционного суда от 20.02.2020, первоначальный иск удовлетворен частично, с администрации в пользу общества взыскано 3 574 459,84 рублей задолженности, 152 569,86 рублей неустойки, 40 759 рублей расходов по оплате государственной пошлины, в удовлетворении остальной части иска отказано. Встречный иск удовлетворен частично, с общества в пользу администрации взыскано 167 044,63 рублей штрафа и 104 553,58 рублей неустойки, 5 616 рублей расходов по оплате судебной экспертизы, в удовлетворении остальной части встречного иска отказано. В результате произведенного зачета суд взыскал с администрации в пользу общества 3 449 814,49 рублей, а также 40 759 рублей расходов по оплате государственной пошлины. Дополнительным решением от 18.12.2019 удовлетворено частично требование общества о взыскании расходов на оплату представителя в размере 30 000 рублей, в удовлетворении остальной части требования отказано. Постановлением Арбитражного суда Московского округа от 22.05.2020 указанные судебные акты оставлены без изменения. Администрация обратилась в Верховный Суд Российской Федерации с кассационной жалобой, в которой просит состоявшиеся по делу судебные акты отменить в части удовлетворения судами требований общества, считая их принятыми с нарушением норм материального и процессуального права в указанной части.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удовлетворили первоначальный иск в части основного долга с учетом исключения из общей заявленной суммы стоимости устранения недостатков, установив фактический объем выполненных работ путем проведения судебной экспертизы, расчет неустойки произведен судом исходя из стоимости фактически выполненных работ. Приведенные в жалобе доводы относительно несогласия с определенным судами объемом выполненных работ, а также о необоснованном отклонении судом ходатайства о назначении по делу повторной судебной экспертизы, были предметом исследования и получили исчерпывающую правовую оценку применительно к установленным обстоятельствам,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"Чистый град" (подробнее) Ответчики: Администрация муниципального образования Ленинский муниципальный район Московской области (подробнее) Иные лица: Межрайонная инспекция Федеральной налоговой службы №17 по Московской области (подробнее) Межрайонная инспекция Федеральной налоговой службы №46 по г. Москве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