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09.09.2019, оставленным без изменения постановлением Девятого арбитражного апелляционного суда от 03.12.2019 и постановлением Арбитражного суда Московского округа от 23.03.2020,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камеральная налоговая проверка представленной обществом уточненной налоговой декларации за 2015 год, в ходе которой установлено неправомерное исчисление налогооблагаемой базы исходя из кадастровой стоимости недвижимого имущества (здания с кадастровым номером 77:09:0001005:1018), утвержденной решением Комиссии по рассмотрению споров о результатах определения кадастровой стоимости при Управлении Росреестра (далее – комиссия) от 19.01.2016 № 51-577/2016, за вычетом налога на добавленную стоимость. Данные обстоятельства послужили основанием принятия налоговым органом решения об отказе в привлечении к ответственности за совершение налогового правонарушения, и доначислении к уплате в бюджет 5 140 938 рублей налога на имущество. Считая решение незаконным, общество обратилось в арбитражный суд. Оценив представленные в материалы дела доказательства, суды, руководствуясь положениями статей 375 , 378.2 Налогового кодекса Российской Федерации, статей 3, 24.18 Федерального закона от 29.07.1998 № 135-ФЗ «Об оценочной деятельности в Российской Федерации», пришли к выводу о законности оспоренного решения ввиду правомерного исчисления инспекцией подлежащего к уплате обществом в бюджет налога на имущество исходя из кадастровой стоимости, установленной решением комиссии, не оспоренным в установленном действующим законодательством порядке. Суды отметили, что оценка законности и обоснованности включения или не включения суммы налога на добавленную стоимость в установленную решением комиссии кадастровую стоимость объекта недвижимости для целей налогообложения по налогу на имущество осуществляется за рамками оспаривания решения налогового органа. Доводы, изложенные в кассационной жалобе, в том числе со ссылками на иную судебную практику, повторяют позицию общества по спору, являлись предметом рассмотрения судов, не опровергают их выводы и не подтверждают существенного нарушения норм материального и процессуального права, повлиявших на исход дела. По существу доводы жалобы выражают несогласие с выводами судов ввиду иного применения положений законодательства к установленным обстоятельствам спора,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«Авеню-Инвест»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ЗАО "АВЕНЮ-ИНВЕСТ" (подробнее) Ответчики: Инспекция Федеральной налоговой службы №43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