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предприятия на вышеуказанные судебные акты. До рассмотрения кассационной жалобы от предприятия поступило ходатайство об отзыве кассационной жалобы. Из материалов кассационного производства усматривается, что отзыв кассационной жалобы не противоречит закону и не нарушает прав других лиц. С учетом изложенного ходатайство предприятия подлежит удовлетворению, а жалоба - возвращению без рассмотрения по существу.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унитарного предприятия Республики Крым «Крымэнерго» об отзыве кассационной жалобы удовлетворить, кассационную жалобу возвратить заявителю без рассмотрения по существу. Судья Верховного Суда Российской Федерации А.Г. Першутов Суд: Верховный Суд РФ (подробнее) Истцы: ГУП Республики Крым "Крымэнерго" (подробнее) Ответчики: УПРАВЛЕНИЕ ФЕДЕРАЛЬНОЙ АНТИМОНОПОЛЬНОЙ СЛУЖБЫ ПО РЕСПУБЛИКЕ КРЫМ И ГОРОДУ СЕВАСТОПОЛЮ (подробнее) Иные лица: 21 ААС (подробнее) АС Центрального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