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21.05.2019 в удовлетворении требований отказано. Постановлением Двадцать первого арбитражного апелляционного суда от 01.08.2019 решение суда первой инстанции отменено, заявленные требования удовлетворены, распределены судебные расходы. Постановлением Арбитражного суда Центрального округа от 18.03.2020 постановление суда апелляционной инстанции отменено в части удовлетворения требований, в указанной части оставлено в силе решение суда первой инстанции, в остальной части постановление суда апелляционной инстанции оставлено без изменения. Истец обратился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Отменяя постановление суда апелляционной инстанции и оставляя в силе решение суда первой инстанции, суд округа руководствовался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и исходил из того, что поставленный товар не подлежит оплате в рамках обязательства по поставке либо неосновательного обогащения в силу разъяснений, изложенных в Обзоре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утвержденном Президиумом Верховного Суда Российской Федерации 28.06.2017; обязанность по возмещению убытков, возникающая вследствие причинения вреда, в данном деле истцом не доказывалась, и предметом иска не являлась. Доводы жалобы были предметом рассмотрения судов первой и кассационной инстанций и получили исчерпывающую правовую оценку в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"Центр смазок" (подробнее) Ответчики: ФГУП "КРЫМСКАЯ ЖЕЛЕЗНАЯ ДОРОГА"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