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Департамент) обратился в Арбитражный суд города Москвы с иском к обществу с ограниченной ответственностью «Вятич-Т» (далее – Общество) о взыскании 1 923 416 рублей 49 копеек долга по арендной плате за период с 01.11.2015 по 30.04.2017; 137 652 рублей 15 копеек неустойки за период с 06.04.2016 по 30.04.2017; расторжении договора от 08.04.2005 № 01-00232/05 аренды нежилого помещения площадью 255,10 кв. м, расположенного по адресу: г. Москва, ул. Плющиха, д. 33; выселении Общества из указанного помещения и обязании передать данное помещение в освобожденном виде. В свою очередь Общество заявило встречные требования о признании права на имущественную поддержку субъекта малого предпринимательства в виде предоставления льготной ставки арендной платы в размере 3 500 рублей за кв. м в год по договору аренды от 08.04.2005 № 01-00232/05 за период с 18.11.2015 по 31.12.2016; о признании права на имущественную поддержку субъекта малого предпринимательства в виде предоставления льготной ставки арендной платы в размере 4 500 рублей за кв. м в год по указанному договору аренды за период с 2 01.01.2017 по 31.12.2018; об обязании произвести перерасчет арендной платы, начиная с 13.08.2015, исходя из ставки 3 500 рублей за кв. м в год, и с 01.01.2017 по 31.12.2018 исходя из ставки 4 500 рублей за кв. м в год. Решением Арбитражного суда города Москвы от 11.04.2019 первоначальный иск удовлетворен частично; встречные требования удовлетворены в полном объеме. Постановлением Девятого арбитражного апелляционного суда от 29.10.2019, оставленным без изменения постановлением Арбитражного суда Московского округа от 30.01.2020, решение от 11.04.2019 отменено, первоначальный иск удовлетворен в полном объеме; в удовлетворении встречных требований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«Вятич-Т». Срок подачи кассационной жалобы на постановление Девятого арбитражного апелляционного суда от 29.10.2019 и постановление Арбитражного 3 суда Московского округа от 30.01.2020 по делу № А40-145833/2018 Арбитражного суда города Москвы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