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«Чистый город» обратилось в Арбитражный суд Московской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«494 УНР» о взыскании 941 911 рублей 22 копеек задолженности за период с 01.09.2018 по 30.09.2018 и 101 617 рублей 73 копеек неустойки за период с 11.10.2018 по 18.06.2019. К участию в деле в качестве третьих лиц, не заявляющих самостоятельных требований относительно предмета спора, привлечены федеральное государственное казенное учреждение «Центральное территориальное управление имущественных отношений Министерства обороны Российской Федерации», общество с ограниченной ответственностью «Техническая эксплуатационная компания – Дом» (далее – Общество) и Министерство обороны Российской Федерации. 2 Решением Арбитражного суда города Москвы от 15.08.2019, оставленным без изменения постановлением Девятого арбитражного апелляционного суда от 23.12.2019 и постановлением Арбитражного суда Московского округа от 25.06.2020, заявленные требования удовлетворены. Не согласившись с указанными актами, Общество обратилось в Верховный Суд Российской Федерации с кассационной жалобой, одновременно заявив ходатайство о зачете государственной пошлины. На основании статьи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Общества и представленные в его обоснование документы, суд приходит к выводу о наличии оснований для его удовлетворения. Руководствуясь статьями 104, 184 и 185 Арбитражного процессуального кодекса Российской Федерации и статьей 333.21,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«Техническая эксплуатационная компания – Дом» о зачете государственной пошлины удовлетворить. 3 Считать уплаченной государственную пошлину за рассмотрение кассационной жалобы Верховным Судом Российской Федерации в размере 3 000 рублей, перечисленную по чеку-ордеру от 05.03.2020 (операция № 24).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