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части 1 статьи 291.2 Арбитражного процессуального кодекса Российской Федерации кассационная жалоба подается в Верховный Суд Российской Федерации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Арбитражным процессуальным кодексом Российской Федерации. В соответствии с частью 2 названной статьи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2 в законную силу обжалуемого судебного акта. Настоящая кассационная жалоба подана заявителем в Верховный Суд Российской Федерации 09.07.2020 через систему «Мой арбитр», то есть по истечении как двухмесячного процессуального срока на обжалование судебного акта, так и пресекательного шестимесячного срока, в пределах которого срок подачи кассационной жалобы может быть восстановлен. При таких обстоятельствах ходатайство о восстановлении пропущенного срока следует оставить без удовлетворения, а кассационную жалобу – возвратить заявителю. Руководствуясь статьями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«Нетпрофит» о восстановлении пропущенного процессуального срока отказать. Кассационную жалобу общества с ограниченной ответственностью «Нетпрофит» на определение Арбитражного суда города Москвы от 27.06.2019, постановление Девятого арбитражного апелляционного суда от 17.09.2019 и постановление Арбитражного суда Московского округа от 02.12.2019 по делу № А40-83941/2018 возвратить заявителю.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