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обратился в суд с заявлением о признании недействительным договора уступки прав требования (цессии) от 26.04.2016 и совершенных по данному договору платежей в размере 10 124 902 рублей 65 копеек и применении последствий недействительности сделки. Определением Арбитражного суда города Москвы от 09.10.2019, оставленным без изменения постановлениями Девятого арбитражного апелляционного суда от 19.12.2019 и Арбитражного суда Московского округа от 17.03.2020,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статьей 61.2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основаниям, поскольку она не является безвозмездной и не наносит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«Строймехпроект-П» Нерсисяну Арсену Гариковичу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