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обратился в суд с заявлением о признании недействительным договора уступки прав требования (цессии) от 26.08.2016 и совершенных по данному договору платежей в размере 1 000 000 рублей, применении последствий недействительности сделки. Определением Арбитражного суда города Москвы от 09.10.2019, оставленным без изменения постановлениями Девятого арбитражного апелляционного суда от 19.12.2019 и Арбитражного суда Московского округа от 17.03.2020,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статьей 61.2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основаниям, поскольку она не является безвозмездной и не наносит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«Строймехпроект-П» Нерсисяну Арсену Гариковичу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