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обратился в суд с заявлением о признании недействительным договора уступки прав требования (цессии) от 24.08.2016 и совершенных по данному договору платежей в размере 1 500 000 рублей и применении последствий недействительности сделки. Определением Арбитражного суда города Москвы от 09.10.2019, оставленным без изменения постановлениями Девятого арбитражного апелляционного суда от 19.12.2019 и Арбитражного суда Московского округа от 17.03.2020, в удовлетворении заявления отказано.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2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основываясь на оценке имеющихся в деле доказательств в соответствии с правилами главы 7 Арбитражного процессуального кодекса Российской Федерации, руководствуясь статьей 61.2 Федерального закона от 26.10.2002 № 127-ФЗ «О несостоятельности (банкротстве)», пунктом 5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исходили из недоказанности совокупности условий для признания недействительной оспариваемой сделки по заявленным основаниям, поскольку она не является безвозмездной и не наносит вред имущественным правам кредиторов.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обществом с ограниченной ответственностью «Строймехпроект-П» Нерсисяну Арсену Гариковичу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