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«Научно-методический центр политологических и экономических исследований» (далее – Общество)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Департаменту городского имущества города Москвы (далее – Департамент) об урегулировании разногласий, возникших при заключении договора купли-продажи нежилого помещения, расположенного по адресу: &lt;...&gt; с кадастровым номером 77:01:0001090:3335, общей площадью 463,7 кв. м (эт. 1, пом. I, комн. 1-9; эт. 2, пом. I, комн. 1-14). Решением Арбитражного суда города Москвы от 21.08.2019, оставленным без изменения постановлением Девятого арбитражного апелляционного суда от 03.12.2019 и постановлением Арбитражного суда Московского округа от 12.03.2020, разногласия между Департаментом и Обществом, возникшие при заключении спорного договора купли-продажи нежилого помещения, урегулированы, в числе прочего суд установил цену объекта недвижимости в размере 87 531 954 рубля.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выражает несогласие с выводами, изложенными в экспертном заключении.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арендатором указанного выше нежилого помещения, что подтверждается договором аренды от 06.06.2007 № 01-00572/07 и дополнительным соглашением от 12.05.2012. Общество, воспользовавшись предоставленным ему Федеральным законом от 22.07.2008 № 159-ФЗ «Об особенностях отчуждения недвижимого имущества, находящегося в государственной собственности субъекта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Закон № 159-ФЗ) правом на выкуп имущества, обратилось в Департамент с заявлением от 18.06.2018. Ответчик согласно заявке от 18.06.2018 № 33-5-68873/18-(0)-0 направил Обществу проекты договоров купли-продажи нежилого помещения для подписания истцом; цена объекта определена в размере 89 769 000 рублей. Полагая, что цена недвижимого имущества составляет 49 722 000 рубля, истец 07.09.2018 направил в Департамент подписанные проекты договоров купли- продажи в редакции протокола разногласий, который ответчик отклонил. В связи с существенными разногласиями относительно цены выкупаемого объекта, Общество обратилось в арбитражный суд с соответствующими требованиями. Исследовав и оценив по правилам статьи 71 АПК РФ представленные доказательства, в том числе заключение судебной экспертизы, руководствуясь статьями 445 , 446 Гражданского кодекса Российской Федерации и положениями Закона № 159-ФЗ, суды урегулировали возникшие разногласия, определив стоимость отчуждаемого объекта недвижимости в размере 87 531 954 рубля.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«Научно-методический центр политологических и экономических исследований»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"НАУЧНО-МЕТОДИЧЕСКИЙ ЦЕНТР ПОЛИТОЛОГИЧЕСКИХ И ЭКОНОМИЧЕСКИХ ИССЛЕДОВАНИЙ" (подробнее) Ответчики: Департамент городского имущества города Москвы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