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Алексеев Игорь Васильевич обратился в суд с заявлением о признании общими обязательств должника Кривцова Владимира Андреевича и Бокиной (Кривцовой) Галины Михайловны перед кредитором по договорам залога. Определением Арбитражного суда Московской области от 14.07.2019, оставленным без изменения постановлениями Десятого арбитражного апелляционного суда от 21.11.2019 и Арбитражного суда Московского округа от 23.03.2020,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статьей 45 Семейного кодекса Российской Федерации, статьями 65, 67, 68 и 71 Арбитражного процессуального кодекса Российской Федерации, пришли к выводу об отсутствии оснований для удовлетворения заявления ввиду отсутствия доказательств, подтверждающих расходование должником заёмных денежных средств на общие нужды семьи.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Алексееву Игорю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