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23 003 095 рублей 57 копеек, в том числе 14 879 680 рублей 19 копеек основного долга и 8 124 305 рублей 38 копеек неустойки. Определением Арбитражного суда города Санкт-Петербурга и Ленинградской области от 04.07.2019, оставленным без изменения постановлениями Тринадцатого арбитражного апелляционного суда от 21.11.2019 и Арбитражного суда Северо-Западного округа от 13.03.2020, требование признано необоснованным.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 , 10 Гражданского кодекса Российской Федерации, статьями 19,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заявления требования по сделке заинтересованных лиц, не раскрывших разумного обоснования и экономической целесообразности сложившихся между ними отношений, не представивших доказательств реального исполнения данной сделки, в связи с чем признали его необоснованным.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«Владимир»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"Петербургская сбытовая компания" (подробнее) Ответчики: ООО "ПЕТЕРБУРГСКИЙ ПРОЕКТ" (подробнее) Иные лица: ГУП " Водоканал Санкт-Петербурга" (подробнее) ГУ Управление по вопросам миграции МВД Российской Федерации по городу Санкт-Петербургу и Ленинградской области (подробнее) МИФНС №21 по СПб (подробнее) ООО "ГРУППА КОМПАНИЙ "К К" (подробнее) Федеральная налоговая служба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