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условия и порядок восстановления срока подачи кассационной жалобы указаны в статье 117, пунктах 2, 3 статьи 291.2 Арбитражного процессуального кодекса Российской Федерации. Оценив доводы, изложенные в ходатайстве заявителя, судья находит их обоснованными, а ходатайство подлежащим удовлетворению. Руководствуясь статьями 117, 184, 291.2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удовлетворить. Срок подачи кассационной жалобы на определение Арбитражного суда Омской области от 22.08.2019 и постановление Арбитражного суда Западно- Сибирского округа от 10.02.2020 по делу № А46-13473/2014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