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июля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ФИО1 обратился в суд с заявлением о включении в реестр требований кредиторов должника задолженности в сумме 60 008 540 рублей. Определением Арбитражного суда Ивановской области от 24.10.2019, оставлением без изменении постановлениями Второго арбитражного апелляционного суда от 18.12.2019 и Арбитражного суда Волго-Вятского округа от 17.03.2020, в удовлетворении заявления отказано. В кассационной жалобе, поданной в Верховный Суд Российской Федерации, заявитель просит отменить указанные судебные акты и направить дело на новое рассмотрение.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статьями 10 , 170 Гражданского кодекса Российской Федерации, статьями 2, 19, 71, 100, 134 Федерального закона от 26.10.2002 № 127-ФЗ «О несостоятельности (банкротстве)», пунктом 26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исходили из того, что предоставленное аффилированным заявителем финансирование с использованием выбранной сторонами конструкции займа, без раскрытия разумного обоснования и экономической целесообразности сложившихся между ними отношений, являлось компенсационным, фактически прикрывало сделку по отчуждении ликвидной доли в уставном капитале должника за номинальную стоимость, в связи с чем отказали в удовлетворении заявленных требований.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Несогласие заявителя с выводами судебных инстанций,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Межрайонная ИФНС России №6 по Ивановской области (подробнее) ФНС России (подробнее) Ответчики: ООО "Русское купечество" (подробнее) Иные лица: УФНС России по Ивановской области (подробнее) Судьи дела: Корнелюк Е.С. (судья) (подробнее) Судебная практика по: Злоупотребление правом Судебная практика по применению нормы ст. 10 ГК РФ Признание договора купли продажи недействительным Судебная практика по применению норм ст. 454, 168, 170, 177, 179 ГК РФ Мнимые сделки Судебная практика по применению нормы ст. 170 ГК РФ Притворная сделка Судебная практика по применению нормы ст. 170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