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признании недействительным соглашения о зачёте встречных однородных требований, совершённого 30.09.2015 между должником, обществом с ограниченной ответственностью «Зодчий» и Сунь ФИО1; применении последствий недействительности сделки в виде восстановления сторон в первоначальное положение. Определением Арбитражного суда Республики Бурятия от 24.07.2019, оставленным без изменения постановлениями Четвёртого арбитражного апелляционного суда от 23.10.2019 и Арбитражного суда Восточно-Сибирского округа от 31.01.2020,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153 , 154 , 309 , 410 , 412 , 421 , 422 , 532 Гражданского кодекса Российской Федерации, статьями 61.1 – 61.3 Федерального закона от 26.10.2002 № 127-ФЗ «О несостоятельности (банкротстве)», исходили из недоказанности реального существования задолженности общества перед должником, а у последнего – перед заявителем, в связи с чем пришли к выводу о незаключённости оспариваемой сделки в силу отсутствия у сторон по отношению друг другу встречных однородных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Сунь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России №2 по Республике Бурятия (подробнее) Министерство имущественных и земельных отношений Республики Бурятия (подробнее) ООО Мехколонна-56 (подробнее) ООО Уран-строй (подробнее) Управление федеральной налоговой службы по Республике Бурятия (подробнее) Ответчики: ООО "Гарант-Строй" (подробнее) ООО Гарант-Строй (подробнее) Иные лица: Некоммерческое партнерство Саморегулируемая организация арбитражных управляющих Центрального Федерального округа (подробнее) Сунь Фуцин (подробнее) Управление Федеральной службы государственной регистрации, кадастра и картографии по Республике Бурятия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