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30.10.2019, оставленным без изменения постановлением Девятого арбитражного апелляционного суда от 09.12.2019, в удовлетворении иска отказано. Постановлением Арбитражного суда Московского округа от 18.03.2020 указанные судебные акты оставлены без изменения. Истец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нужд», Гражданского кодекса Российской Федерации, суды отказали в удовлетворении иска, признав с учетом конкретных обстоятельств дела, что исходя из сложившихся правоотношений, существа обязательства и условий договора, возврат исполнителю использованных при производстве работ материалов не предусмотрен.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"АКОНИТ" (подробнее) Ответчики: Федеральное государственное казенное учреждение "Управление лесного хозяйства и природопользования" Министерства обороны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