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24.08.2018, оставленным без изменения постановлением Восемнадцатого арбитражного апелляционного суда от 22.11.2018, иск удовлетворен. Постановлением Арбитражного суда Уральского округа от 10.04.2019 решение суда первой инстанции и постановление суда апелляционной инстанции отменены, дело направлено на новое рассмотрение в суд первой инстанции. В кассационной жалобе заявитель, ссылаясь на его незаконность и необоснованность, просит обжалуемый судебный акт отменить, оставить в силе решение суда первой инстанции и постановление суда апелляционной инстанции. По смыслу части 1 статьи 291.1 , части 7 статьи 291.6 ,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Указанных оснований по результатам изучения судебных актов, принятых по делу, и доводов кассационной жалобы заявителя не установлено. Удовлетворяя исковые требования, суды первой и апелляционной инстанций исходили из доказанности причинения истцу ущерба вследствие неправомерного удержания ответчиком после прекращения договорных арендных отношений с истцом имущества, хранителем которого истец является, а также из того, что при сложившихся обстоятельствах нет оснований полагать, что удерживаемое имущество не утрачено ответчиком, не пришло в негодность, не повреждено. Отменяя принятые по настоящему делу решение суда первой инстанции и постановление суда апелляционной инстанции, суд округа указал на несоответствие выводов судов фактическим обстоятельствам дела, рассмотрение дела без учета обстоятельств, имеющих существенное значение. Судом округа указано устранить отмеченные недостатки, дать надлежащую правовую оценку доводам и доказательствам, представленным лицами, участвующими в деле, и разрешить спор по существу. Обжалуемое постановление принято в пределах полномочий, определенных в статье 287 АПК РФ . При этом заявитель не лишен возможности изложить свои доводы при новом рассмотрении дела в суде первой инстанции. Существенных нарушений норм материального и (или) процессуального права, повлиявших на исход дела, судом округа не допущено.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«Клен»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О.В. Киселева Суд: Верховный Суд РФ (подробнее) Истцы: ООО "Клен" (подробнее) Ответчики: ООО "Рент экспресс" (подробнее) Иные лица: ООО "Перспектива" (подробнее) ООО "Промотделстрой-сервис" (подробнее) Последние документы по делу: Определение от 8 июля 2020 г. по делу № А76-15454/2017 Определение от 9 августа 2019 г. по делу № А76-15454/2017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