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При этом производство по настоящей жалобе в части обжалования определения Арбитражного суда города Москвы от 14.10.2019 и постановления Девятого арбитражного апелляционного суда от 19.12.2019 по настоящему делу подлежит прекращению применительно к пункту 1 части 1 статьи 150 Арбитражного процессуального кодекса Российской Федерации, поскольку жалоба в данной части противоречит правилам, установленным частью 1 статьи 291.1 Арбитражного процессуального кодекса Российской Федерации, ввиду отмены указанных актов судов первой и апелляционной инстанций постановлением суда округа от 28.02.2020. 2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Сорокина Александра Леонидовича удовлетворить. Срок подачи кассационной жалобы Сорокина Александра Леонидовича на постановление Арбитражного суда Московского округа от 28.02.2020 по делу № А40-12417/2016 восстановить. Прекратить производство по кассационной жалобе Сорокина Александра Леонидовича в части обжалования определения Арбитражного суда города Москвы от 14.10.2019 и постановления Девятого арбитражного апелляционного суда от 19.12.2019 по делу № А40-12417/2016.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