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его требования из кредитного договора № 455-13 КЛ от 10.06.2018 в размере 7 430 000 рублей. Определением Арбитражного суда Красноярского края от 29.07.2019, оставленным без изменения постановлениями Третьего арбитражного апелляционного суда от 16.10.2019 и Арбитражного суда Восточно-Сибирского округа от 13.03.2020,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196, 199, 200, 202-204, 819 Гражданского кодекса Российской Федерации, статьями 100, 142 Федерального закона от 26.10.2002 № 127-ФЗ «О несостоятельности (банкротстве)», пунктом 15 постановления Пленума Верховного Суда Российской Федерации от 29.09.2015 № 43 «О некоторых вопросах применения норм Гражданского кодекса Российской Федерации об исковой давности», исходили из пропуска заявителем срока исковой давности по предъявленным требованиям в отсутствии доказательств его прерывания, в связи с чем отказали во включении их в реестр.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«Роскосмосбанк»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