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04.10.2019, оставленным без изменения постановлением Восемнадцатого арбитражного апелляционного суда от 04.12.2019, арбитражный управляющий привлечен к административной ответственности, предусмотренной частью 3 статьи 14.13 Кодекса Российской Федерации об административных правонарушениях, и ему назначено наказание в виде предупреждения. 2 Постановлением Арбитражного суда Уральского округа от 13.03.2020 указанные судебные акты отменены, дело направлено на новое рассмотрение в суд первой инстанции.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При изучении доводов жалобы и принятых по делу судебных актов оснований для удовлетворения жалобы не установлено. Направляя дело на новое рассмотрение, суд округа указал, что при новом рассмотрении суду необходимо рассмотреть вопрос о привлечении к участию в деле общества «СИА Интернешнл Екатеринбург» как конкурсного кредитора, обратившегося с жалобой на действия арбитражного управляющего и заявившего о намерении вступить в дело в качестве третьего лица, не заявляющего самостоятельных требований относительно предмета спора, исследовать доводы лиц, участвующих в деле, и представленные ими доказательства, дать им надлежащую правовую оценку, и принять решение в соответствии с нормами материального и процессуального права. При этом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Как отмена судебных актов по жалобе потерпевшего на мягкость наказания нарушает охраняемые законом публичные интересы, и какой защите они подлежат, в жалобе не указано. 3 Доводы жалобы о том, что потерпевшим признается физическое лицо или юридическое лицо, которым административным правонарушением причинен физический, имущественный или моральный вред, сами по себе не опровергают выводы суда округа о неправомерности ограничения прав потерпевшего в арбитражном процессе, в сравнении с правами потерпевшего по делам, непосредственно рассмотренным с применением норм Кодекса Российской Федерации об административных правонарушениях. При этом административный орган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