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конкурсный управляющий закрытым акционерным обществом «Лада Инжиниринг Инвест Компани» (далее – должник) ФИО2 обратился в суд с иском о взыскании с общества убытков в размере 704 000 рублей. Решением Арбитражного суда города Москвы от 16.10.2019, оставленным без изменения постановлениями Девятого арбитражного апелляционного суда от 30.12.2019 и Арбитражного суда Московского округа от 12.03.2020, иск удовлетворён. В кассационной жалобе, поданной в Верховный Суд Российской Федерации, заявитель просит отменить указанные судебные акты, принять по делу новый судебный акт об отказе в удовлетворении иска.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иск, суды, руководствуясь статьями 15 , 223 , 393 , 1064 , 1082 Гражданского кодекса Российской Федерации, пунктом 34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пунктом 82 постановления Пленума Верховного Суда Российской Федерации от 4 17.11.2015 № 50 «О применении судами законодательства при рассмотрении вопросов, возникающих в ходе исполнительного производства», исходили из доказанности совокупности условий для привлечения заявителя к ответственности в виде взыскания убытков, понесённых в связи с исполнением судебного акта о признании недействительной, применении последствий недействительности ранее заключенной с обществом сделки и необходимостью государственной регистрации за должником права собственности на подлежащие возврату в конкурсную массу нежилые помещения, обоснованно отклонив возражения заявителя об оставлении искового заявления без рассмотрения.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«Частный Дом»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ЗАО "Лада Инжиниринг Инвест Компани" (подробнее) ЗАО "Лада Инжиниринг Инвест Компрани" в лице к/у Иванова Г.П. (подробнее) Ответчики: ООО "Частный дом" (подробнее) Судьи дела: Корнелюк Е.С.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