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«Дантон-Птицепром» (далее – Общество) обратилось в Арбитражный суд Тверской области с иском к ФИО1 о взыскании 11 758 689 рублей 33 копеек убытков. Решением Арбитражного суда Тверской области от 25.06.2019, оставленным без изменения постановлением Четырнадцатого арбитражного апелляционного суда от 22.10.2019 и постановлением Арбитражного суда Северо-Западного округа от 04.03.2020, требования удовлетворены в полном объеме. В кассационной жалобе, поданной в Верховный Суд Российской Федерации, заявитель просит отменить состоявшиеся по делу судебные акты, отказать в удовлетворении требований, ссылаясь на несоответствие выводов судов фактическим обстоятельствам спора, а также существенные нарушения норм материального и процессуального права. В обоснование доводов жалобы заявитель настаивает на отсутствии необходимой совокупности обстоятельств, необходимых для взыскания убытков, отмечая, что он как генеральный директор Общества действовал в рамках законодательства и внутренних локальных актов.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Общество сослалось на то, что новым директором проведена оценка деятельности юридического лица за последние два года (период руководства ФИО1), в результате которой выявлены неоднократные выплаты ФИО2 ежемесячных премий в большем размере, чем предусмотрено в трудовом договоре, годовой премии в отсутствие оснований и незадолго до увольнения; неоднократные выплаты ФИО1 премий без получения разрешения совета директоров, а также выплаты выходных пособий ФИО3 и ФИО4 в связи с расторжением трудовых договоров, условия которых не предусматривали такие выплаты. Кроме того, Общество сослалось на то, что ФИО1 не контролировал рост дебиторской задолженности, в отношении части которой истекли сроки исковой давности либо должники были исключены из Единого государственного реестра юридических лиц, в результате чего предприятие утратило возможность взыскать долг.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заявленные требований, придя к выводу о наличии необходимой совокупности условий для привлечения ФИО1 к гражданско-правовой ответственности в виде возмещения убытков, констатировав неправомерность осуществления спорных выплат сотрудникам Общества и самому себе, а также отсутствие ненадлежащего контроля над дебиторской задолженностью контрагентов.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"Дантон-Птицепром"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