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08.10.2019, оставленным без изменения постановлением Семнадцатого арбитражного апелляционного суда от 04.12.2019 и постановлением Арбитражного суда Уральского округа от 20.03.2020,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оспариваемым предписанием на общество возложена обязанность принять меры по перерасчету суммы задолженности заемщика по договору займа от 08.05.2019 № 3810532 с учетом нарушений, указанных в описательной части настоящего предписания; довести до заемщика информацию об устранении нарушений с указанием размера излишне уплаченных денежных средств и порядка их возврата; представить объяснения по факту допущенных нарушений; принять меры, направленные на недопущение в дальнейшей деятельности подобных нарушений действующего законодательства и представить документы, подтверждающие принятие данных мер; предоставить в управление отчет об исполнении предписания с приложением копий подтверждающих документов. Оценив представленные в материалы дела доказательства, в том числе условия заключенного между сторонами договора займа, суды, руководствуясь положениями статей 191 , 809 Гражданского кодекса Российской Федерации (далее – Гражданский кодекс), статей 76.1, 76.5 Федерального закона от 10.07.2002 № 86-ФЗ «О Центральном банке Российской Федерации (Банке России)», статей 2.3, 8 Федерального закона от 19.07.2007 № 196-ФЗ «О ломбардах» (далее - Закон о ломбардах), пришли к выводу о том, что оспоренное предписание соответствует требованиям законодательства, вынесено в пределах предоставленных управлению полномочий, является мотивированным и исполнимым. Судебные инстанции исходили из того, что начисление процентов за пользование займом с учетом дат его предоставления и возврата в соответствии с условиями, установленными обществом в договоре займа, не соответствует требованиям пункта 2 части 1 статьи 8 Закона о ломбардах и статьи 191 Гражданского кодекса. Доводы, изложенные в кассационной жалобе, в том числе со ссылкой на судебную практику с иным подходом к определению периода фактического пользования займом и часть 3 статьи 809 Гражданского кодекса, были предметом рассмотрения судов и им дана надлежащая правовая оценка. Приведенные доводы выражают несогласие с выводами судов в связи с иным применением заявителем положений законодательства, не свидетельствуют о существенном нарушении норм материального и процессуального права, повлиявшем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«Ломбардная компания «Драгоценности Урала»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"ЛОМБАРДНАЯ КОМПАНИЯ "ДРАГОЦЕННОСТИ УРАЛА" (подробнее) Ответчики: Центральный банк Российской Федерации (подробнее) Центральный Банк Российской Федерации (Управление Службы по защите прав потребителей и обеспечение доступности финансовых услуг в Уральском федеральном округе)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