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Метла Анастасия Сергеевна обратилась в суд с заявлением о признании недействительной сделки – зачёта взаимных однородных требований от 18.04.2017. Определением Арбитражного суда Пермского края от 25.07.2019, оставленным без изменения постановлениями Семнадцатого арбитражного апелляционного суда от 24.11.2019 и Арбитражного суда Уральского округа от 27.02.2020, заявление удовлетворено. В кассационной жалобе, поданной в Верховный Суд Российской Федерации, заявитель просит указанные судебные акты отменить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пунктами 1 и 2 статьи 61.3 Федерального закона от 26.10.2002 № 127-ФЗ «О несостоятельности (банкротстве)», исходили из того, что оспариваемая сделка является зачётом встречных обязательств, совершённым в одностороннем порядке после возбуждения дела о банкротстве должника и повлекшим получение обществом предпочтения в виде удовлетворения требования по сравнению с иными кредиторами, при этом верно применив последствия её недействительности.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«Дехканабадский калийный завод»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