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09.08.2019, оставленным без изменения постановлением Девятого арбитражного апелляционного суда от 02.12.2019 и постановлением Арбитражного суда Московского округа от 24.03.2020, в удовлетворении требования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казначейством проведена проверка соблюдения комитетом условий предоставления и использования средств из федерального бюджета в рамках федеральной целевой программы «Развитие Калининградской области на период до 2020 года». По результатам проверки казначейством выявлены нарушения комитетом бюджетного законодательства Российской Федерации и иных нормативных правовых актов, регулирующих бюджетные правоотношения, а также условий договоров (соглашений) о предоставлении средств из бюджета, государственных (муниципальных)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контроля и выдано предписание об их устранении. Комитету предписано принять меры к подрядным организациям по обеспечению возврата средств, источником финансового обеспечения которых являлись средства федерального бюджета, израсходованные с нарушениями требований бюджетного законодательства и иных нормативных правовых актов, в результате чего причинен ущерб Российской Федерации на сумму 56 861 628 рублей 98 копеек; направить возвращенные средства главному распорядителю бюджетных средств - Министерству развития инфраструктуры Калининградской области, с дальнейшим перечислением в доход федерального бюджета; осуществить возврат в доход федерального бюджета указанные суммы в срок до 01.06.2019; о результатах исполнения проинформировать казначейство до 15.06.2019. Не согласившись с предписанием казначейства, комитет обратился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Градостроительного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предписание казначейства соответствует нормам действующего законодательства и не нарушает права и интересы комитета. Судебные инстанции исходили из того, что выявленные нарушения, выразившиеся в завышении стоимости работ и оплате невыполненных работ, свидетельствуют о неэффективности использования заявителем бюджетных средств. Доводы комитета, изложенные в кассационной жалобе, в том числе о неправильном расчете подлежащих возврату сумм субсидий, неисполнимости спорного предписания, выполнении контрактов в полном объеме,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дела. Ссылка заявителя на судебную практику не свидетельствует о принятии судами неправомерных судебных актов с учетом обстоятельств спора. Изложенные в жалобе доводы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территориального развития и строительства администрации городского округа «Город Калининград»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Комитет территориального развития и строительства администрации городского округа Город Калининград (подробнее) Ответчики: Федеральное казначейство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