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07.10.2019, оставленным без изменения постановлением Седьмого арбитражного апелляционного суда от 24.12.2019, в удовлетворении иска отказано. Постановлением Арбитражного суда Западно-Сибирского округа от 16.04.2020 указанные судебные акты оставлены без изменения. В кассационной жалобе, поступившей в Верховный Суд Российской Федерации, фонд просит отменить состоявшиеся по делу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Отказывая в удовлетворении требований, суды руководствовались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и исходили из недоказанности фондом причинно-следственной связи между заявленным ущербом и действиями страхователя по предоставлению сведений индивидуального (персонифицированного) учета за апрель 2018. При этом суды указали, что на момент принятия решения о перерасчете размера пенсии фонд располагал сведениями об осуществлении пенсионерами трудовой деятельности. Указанные выводы судов в жалобе фондом не опровергнуты.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ДЗЕРЖИНСКОМ РАЙОНЕ Г. НОВОСИБИРСКА МЕЖРАЙОННОЕ (подробнее) Ответчики: АО "НОВОСИБИРСКИЙ АВИАРЕМОНТНЫЙ ЗАВОД" (подробнее) Иные лица: Арбитражный суд Западно-Сибирского округа (подробнее) Седьмой арбитражный апелляционный суд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