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29.06.2020 повторно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силу части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уважительными. Оценив приведенные заявителем причины пропуска процессуального срока и основания возврата первоначальной жалобы, суд признает их уважительными. Поскольку ходатайство о восстановлении пропущенного процессуального срока заявлено в пределах установленного срока, причины пропуска срока признаны судом уважительными, данное ходатайство подлежит удовлетворению на основании части 2 статьи 291.2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«Конструктивстрой»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