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20.08.2019, оставленным без изменения постановлением Пятого арбитражного апелляционного суда от 07.11.2019, в удовлетворении требований отказано. Постановлением Арбитражного суда Дальневосточного округа от 02.03.2020 указанные судебные акты оставлены без изменения. В кассационной жалобе общество просит обжалуемые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невыполнения обществом в установленный срок обязанности по возврату денежных средств, уплаченных нерезидентам за не ввезенные в Российскую Федерацию товары. Частью 5 статьи 15.25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средств, уплаченных нерезидентам за не ввезенные в Российскую Федерацию (не полученные в Российской Федерации) товары, невыполненные работы, неоказанные услуги либо за непереданные информацию или результаты интеллектуальной деятельности, в том числе исключительные права на них.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совершение которого предусмотрена частью 5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соблюдены, назначенное административным органом наказание в виде штрафа снижено судом.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Приведенные в жалобе доводы о продлении срока исполнения контракта, идентичные изложенным в обоснование позиции общества при рассмотрении дела, подробно исследованы судами и им дана исчерпывающая правовая оценка исходя из представленных доказательств,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"СВ ИМПОРТ" (подробнее) Ответчики: Владивостокская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