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15.04.2019, оставленным без изменения постановлением Восемнадцатого арбитражного апелляционного суда от 02.10.2019, иск удовлетворен. Постановлением Арбитражного суда Уральского округа от 04.03.2020 указанные судебные акты оставлены без изменения. В кассационной жалобе, поступившей в Верховный Суд Российской Федерации, общество просит отменить названные судебные акты,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21.11.2011 № 323-ФЗ «Об основах охраны здоровья граждан в Российской Федерации», суды удовлетворили требования, признав, что обществом (поставщиком) допущено существенное нарушение условий контрактов, доказательств того, что качество поставленного товара соответствует условиям контрактов, поставщиком не представлено. Изложенные в жалобе доводы приводились при рассмотрении дела, получили надлежащую правовую оценку судов исходя из конкретных установленных условий контракта, и отклонены по мотивам, подробно изложенным в соответствующих судебных актах. Несогласие заявителя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ГОСУДАРСТВЕННОЕ БЮДЖЕТНОЕ УЧРЕЖДЕНИЕ ЗДРАВООХРАНЕНИЯ "ОБЛАСТНАЯ КЛИНИЧЕСКАЯ БОЛЬНИЦА №3" (подробнее) ООО "Рош Диагностика Рус" (подробнее) Ответчики: ООО "БЕЛАЯ ПЕСОЧНИЦА"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