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29.06.2020 направил в Верховный Суд Российской Федерации кассационную жалобу и одновременно заявил ходатайство о восстановлении пропущенного срока, в обоснование которого ссылается на введенные ограничительные меры и режим самоизоляции в период течения срока на обращение с кассационной жалобой.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2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автономной некоммерческой организации «Лаборатория по производству судебной экспертизы объектов патентных прав и средств индивидуализации»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