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27.09.2019 иск удовлетворен. Постановлением Шестнадцатого арбитражного апелляционного суда от 11.12.2019 решение суда первой инстанции изменено, с ответчика в пользу истца взыскано 492 637 рублей задолженности. Постановлением Арбитражного суда Северо-Кавказского округа от 05.03.2020 постановление суда апелляционной инстанции оставлено без изменения. Истец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 и принятых по делу судебных актов оснований для удовлетворения жалоб не установлено.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требования частично, признав, что услуги оказаны не в полном объеме, имеют ненадлежащие количественные и качественные характеристики, и подлежат оплате частично с учетом фактически убираемых площадей. Доводы жалобы были предметом рассмотрения судов апелляционной и кассационной инстанций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"Компания "Новые технологии" (подробнее) Ответчики: ФГБОУ ВО "КБГАУ им. В.М. Кокова" (подробнее) Иные лица: Шестнадцатый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