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её требований в реестр требований кредиторов должника. Определением Арбитражного суда города Москвы от 02.10.2019, оставленным без изменения постановлениями Девятого арбитражного апелляционного суда от 11.12.2019 и Арбитражного суда Московского округа от 11.03.2020, признаны обоснованными требования в размере 140 466 530 рублей 97 копеек – основного долга, 10 263 470 рублей 74 копеек – неустойки, взысканной по решениям суда, 428 849 рублей – судебных расходов, 5 660 504 рублей 41 копейки – неустойки, начисленной на сумму основного долга. В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во включении в реестр задолженности в размере 4 796 127 рублей 85 копеек и в размере 925 рублей 46 копеек, направить дело в данной части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заявлении в обжалуемой части, суды, руководствуясь статьями 49 , 143 , 150 , 151 Арбитражного процессуального кодекса Российской Федерации, статьями 63, 81, 95 Федерального закона от 26.10.2002 № 127-ФЗ «О несостоятельности (банкротстве)», абзацем пятым пункта 28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реализации заявителем своего процессуального права (требование ранее рассматривалось в рамках иного арбитражного дела, в котором судом принят заявленный компанией отказ от иска в соответствующей части). Кроме того, суды сочли не подлежащей включению в реестр задолженность, представляющую собой разницу в начислениях за потреблённый коммунальный ресурс, как не подтвержденной документально.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«Московская объединённая энергетическая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 Мосводоканал" (подробнее) АО "МОСЭНЕРГОСБЫТ" (подробнее) ООО "Пиксель Трейдинг" (подробнее) ООО Правовой центр Лекс Аргумент (подробнее) ООО "СервисГрад" (подробнее) ООО "Теплоснабжающая компания Мосэнерго" (подробнее) ПАО МОЭК (подробнее) Ответчики: ООО "ТЭКэнерго" (подробнее) ООО "ТЭКЭнерго (подробнее) Иные лица: ДЕПАРТАМЕНТ ЭКОНОМИЧЕСКОЙ ПОЛИТИКИ И РАЗВИТИЯ Г. МОСКВЫ (подробнее) МСОПАУ (подробнее) ПАО "МОЭК"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