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государственная корпорация развития «ВЭБ.РФ» обратилась в суд с заявлением о признании должника несостоятельным (банкротом). Решением Арбитражного суда Ростовской области от 14.08.2019, оставленным без изменения постановлениями Пятнадцатого арбитражного апелляционного суда от 18.12.2019 и Арбитражного суда Северо-Кавказского округа от 18.03.2020, должник признан несостоятельным (банкротом), в отношении него открыто конкурсное производство по упрощённой процедуре ликвидируемого должника.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общество банкротом по упрощённой процедуре ликвидируемого должника, суды, руководствуясь положениями статей 3, 33, 224, 225 Федерального закона от 26.10.2002 № 127-ФЗ «О несостоятельности (банкротстве)», пунктом 62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основывались на обстоятельствах нахождения должника в стадии ликвидации, наличии документально подтверждённого и непогашенного на протяжении трёх месяцев требования корпорации свыше 300 000 рублей, ставшей участником общества спустя восемь лет с момента выдачи последнему кредита и чьи действия не являлись злоупотреблением правом с точки зрения нормального гражданского оборота.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«Хантсман – НМГ»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