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«Комфорт ЛТД» обратилось в суд с заявлением о процессуальной замене кредитора – общества с ограниченной ответственностью «Подводремстрой» на себя в сумме 5 317 941 рубль 13 копеек. Определением Арбитражного суда Московской области от 07.09.2018, оставленным без изменения постановлением Десятого арбитражного апелляционного суда от 12.10.2018, заявление удовлетворено. Постановлением Арбитражного суда Московского округа от 29.12.2018 вышеуказанные судебные акты отменены, дело направлено на новое рассмотрение в суд первой инстанции. При новом рассмотрении общество обратилось в суд с заявлением об оспаривании сделки, положенной в основу заявления о процессуальной замене кредитора – договора цессии от 22.05.2018, заключенного между обществами «Комфорт ЛТД» и «Подводремстрой»; применении последствий её недействительности. При повторном рассмотрении обособленного спора определением Арбитражного суда Московской области от 30.08.2019, оставленным без изменения постановлениями Десятого арбитражного апелляционного суда от 19.11.2019 и Арбитражного суда Московского округа от 04.03.2020, в удовлетворении заявления о замене кредитора в порядке процессуального 2 правопреемства отказано; договор цессии признан недействительным, в остальной части в удовлетворении требований общества отказано. В кассационной жалобе, поданной в Верховный Суд Российской Федерации, заявитель просит отменить названные судебные акты в части отказа в применения последствий недействительности сделки.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применении последствий недействительности ничтожной сделки, суды, руководствуясь статьями 61.6, 134 Федерального закона от 26.10.2002 № 127-ФЗ «О несостоятельности (банкротстве)», исходили из недоказанности факта получения обществом «Подводремстрой» по ней какого-либо имущества должника.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«Богучанский Алюминиевый Завод»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