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«ВЭД-Сервис» (далее – общество) обратилось в Арбитражный суд Приморского края с заявлением к Хабаровской таможне (далее – таможенный орган) о признании незаконным и отмене постановления от 05.02.2019 о назначении административного наказания по делу № 10703000-669/2018 об административном правонарушении, предусмотренном частью 2 статьи 16.2 Кодекса Российской Федерации об административных правонарушениях (далее – КоАП РФ), а также о прекращении производства по делу об административном правонарушении. К участию в деле в качестве третьих лиц, не заявляющих самостоятельные требования, привлечены акционерное общество «Амурское пароходство» и Федеральное автономное учреждение «Российский морской регистр судоходства». Решением Арбитражного суда Приморского края от 19.07.2019, оставленным без изменения постановлением Пятого арбитражного апелляционного суда от 17.09.2019, прекращено производство по делу в части требования общества о прекращении производства по делу об административном правонарушении, в удовлетворении остальной части требований обществу отказано. Арбитражный суд Дальневосточного округа постановлением от 22.01.2020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 признании незаконным и отмене оспариваемого постановления таможенного органа. Письмом судьи Верховного Суда Российской Федерации от 14.04.2020 были истребованы материалы дела из Арбитражного суда Приморского края.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постановлением таможенного органа от 05.02.2019 по делу об административном правонарушении № 10703000-669/2018 общество привлечено к административной ответственности, предусмотренной частью 2 статьи 16.2 КоАП РФ, с назначением наказания в виде административного штрафа в размере 341 522 рублей 41 копейки. Не согласившись с указанным постановлением таможенного органа, общество оспорило его в арбитражном суде. Оценив представленные в материалы дела доказательства и установив, что в период международного рейса в отношении временно вывезенного с таможенной территории ЕАЭС морского судна были совершены операции по ремонту, носящему плановый характер, которые не подпадают под условия пункта 1 статьи 277 ТК ЕАЭС, суды пришли к выводу о том, что такое морское судно подлежало помещению под таможенную процедуру выпуска для внутреннего потребления с уплатой ввозных таможенных пошлин, налогов определенных в соответствии со статьей 186 ТК ЕАЭС. Поскольку при ввозе на таможенную территорию ЕАЭС упомянутого морского судна общество в ДТ определило таможенную стоимость товара по стоимости сделки (первый метод) исходя из цены ремонтных работ, выполненных компанией Dalian Hengsheng Marine Co., Ltd. (КНР) по контракту от 11.01.2018 № В215-06, не включив расходы за оказанные филиалом общества с ограниченной ответственностью «Российский морской регистр судоходства» (Тяньцзинь) в г. Шанхай услуги по промежуточному освидетельствованию и освидетельствованию подводной части судна, неразрывно связанных с ремонтом судна, тем самым занизив размер таможенных пошлин, налогов, суды пришли к выводу о наличии в действиях общества состава административного правонарушения, ответственность за которое установлена частью 2 статьи 16.2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суды пришли к выводу о правомерности оспариваемого постановления таможенного органа о привлечении общества к административной ответственности, предусмотренной частью 2 статьи 16.2 КоАП РФ, и отказали обществу в удовлетворении требований в указанной части.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применительно к фактическим обстоятельствам, связанным с совершением обществом вмененного правонарушения. Как установлено судами, спорные услуги, оказанные филиалом общества с ограниченной ответственностью «Российский морской регистр судоходства» (Тяньцзинь) в г. Шанхай, неразрывно связаны с ремонтом судна вне таможенной территории ЕАЭС. Также непосредственная взаимосвязь спорных услуг с ремонтными работами напрямую следует из положений пункта 5 контракта от 11.01.2018 № В15-06 «классификационный надзор». В рассматриваемом случае, обществом заявлялись сведения о проведенном за пределами таможенной территории ЕАЭС ремонте временно вывезенного морского судна, ранее не помещенного под таможенную процедуру переработки вне таможенной территории, в связи с чем стоимость операций по переработке вне таможенной территории ЕАЭС определяется в соответствии со статьей 186 ТК ЕАЭС как совокупность всех фактически понесенных расходов на операции по переработке (ремонту).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"ВЭД-Сервис" (подробнее) Ответчики: ХАБАРОВСКАЯ ТАМОЖНЯ (подробнее) Иные лица: АО "АМУРСКОЕ ПАРОХОДСТВО" (подробнее) Владивостокский гарнизонный военный суд (подробнее) Федеральное автономное учреждение "Российский морской регистр судоходства"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