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«Центр инжиниринга и управления строительством Единой энергетической системы» (далее – общество) обратилось в суд с заявлением о включении в реестр требований кредиторов должника его требований в размере 1 195 709 485 рублей 69 копеек. Определением Арбитражного суда Краснодарского края от 27.09.2019, оставленным без изменения постановлениями Пятнадцатого арбитражного апелляционного суда от 02.12.2019 и Арбитражного суда Северо-Кавказского округа от 12.03.2020, ходатайства временного управляющего и кредитора об уменьшении размера неустойки отклонены; ходатайство кредитора о назначении экспертизы отклонено; ходатайство общества об уточнении требований удовлетворено; в третью очередь реестра требований кредиторов должника включены требования в сумме 392 364 109 рублей 45 копеек непогашенного аванса, 5 998 333 рублей 51 копейки процентов за пользование чужими денежными средствами отдельно, 15 492 873 рублей 59 копеек неустойки за непредставление единой банковской гарантии отдельно, 778 138 312 рублей 57 копеек неустойки за нарушение сроков завершения 2 выполнения работ отдельно, 300 000 рублей штрафа за нарушение охраны объекта отдельно, 500 000 рублей штрафа за непредставление отчёта отдельно. В удовлетворении остальной части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330, 421, 702, 708, 711 Гражданского кодекса Российской Федерации, статьями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документальной подтвержденности задолженности (неотработанного аванса), обоснованности начисленных неустойки и штрафов, в связи с чем пришли к выводам о наличии оснований для включения требований в реестр, скорректировав размер процентов за пользование денежными средствами ввиду допущенной в расчёте арифметической ошибки.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Харсбург Инвестментс Лимитед (Harsburg Investments Limited)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