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Московской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управляющий и кредитор обратились в суд с заявлением о привлечении администрации городского округа Звенигород к субсидиарной ответственности по обязательствам должника в размере 62 615 713 рублей 76 копеек. Определением Арбитражного суда Московской области от 08.10.2019, оставленным без изменения постановлениями Десятого арбитражного апелляционного суда от 19.12.2019 и Арбитражного суда Московского округа от 11.03.2020, в удовлетворении заявлений отказано.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статьями 9, 10, 61.11 Федерального закона от 26.10.2002 № 127-ФЗ «О несостоятельности (банкротстве)», указали на отсутствие совокупности условий наступления субсидиарной ответственности администрации по обязательствам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«Мосэнергосбыт» и конкурсного управляющего муниципальным предприятием городского округа Звенигород Московской области «Звенигородская электросеть»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