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своего требования в размере 166 622 880 рублей 55 копеек. Определением Арбитражного суда Новосибирской области от 10.10.2019, оставленным без изменения постановлением Седьмого арбитражного апелляционного суда от 25.12.2019, требование признано обоснованным и подлежащим удовлетворению за счет имущества должника, оставшегося после удовлетворения требований кредиторов, включенных в реестр. Постановлением Арбитражного суда Западно-Сибирского округа от 11.03.2020 вышеуказанные судебные акты отменены, обособленный спор направлен на новое рассмотрение в Арбитражный суд Новосибирской области.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обособленный спор на новое рассмотрение, суд округа, руководствуясь положениями части 2 статьи 69, части 3 статьи 288 Арбитражного процессуального кодекса Российской Федерации, исходил из неверного применения судами первой и апелляционной инстанции норм процессуального права, в результате чего принятые ими судебные акты вынесены без полного исследования всех доказательств и фактических обстоятельств, имеющих существенное значение для правильного разрешения спора, в том числе вне оценки возражений кредиторов должника.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общества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«РЖД Строй» в лице филиала Специализированный мостовой трест «Спецмостотрест»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