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«ВладФинанс» (далее – общество) обратилось в суд с заявлением о включении в реестр требований кредиторов должника требования в размере 7 811 135 рублей 97 копеек. Определением Арбитражного суда Новосибирской области от 25.12.2019, оставленным без изменения постановлениями Седьмого арбитражного апелляционного суда от 06.03.2020 и Арбитражного суда Западно-Сибирского округа от 18.06.2020, требование признано обоснованным и подлежащим включению в третью очередь реестра. Не согласившись с вышеуказанными судебными актами, должник обратился в Верховный Суд Российской Федерации с кассационной жалобой, впоследствии заявив ходатайство о приостановлении исполнения обжалуемого определения суда первой инстанции.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2 В обоснование своего ходатайства заявитель указывает на последствия, связанные с включением требований общества в реестр требований кредиторов должника, и на затруднительность возможного поворота исполнения данного судебного акта ввиду специфики процедуры банкротства. Изучив ходатайство, суд считает его не подлежащим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Морозова Виктора Андреевича о приостановлении исполнения определения Арбитражного суда Новосибирской области от 25.12.2019 по делу № А45-14539/2019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