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июля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обратился в Верховный Суд Российской Федерации с кассационной жалобой, заявив ходатайство о восстановлении пропущенного срока её подачи. Рассмотрев ходатайство о восстановлении процессуального срока, суд находит его обоснованным и подлежащим удовлетворению. Руководствуясь статьями 117, 184,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срок подачи кассационной жалобы определение Арбитражного суда Республики Карелия от 03.10.2019, постановление Тринадцатого арбитражного апелляционного суда от 24.12.2019 и постановление Арбитражного суда Северо-Западного округа от 12.03.2020 по делу № А26-11362/2015 восстановить. Судья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