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15.08.2019, оставленным без изменения постановлением Девятого арбитражного апелляционного суда от 20.11.2019 и постановлением Арбитражного суда Московского округа от 24.03.2020,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иск общества (поставщик) мотивирован наличием у компании (покупатель) задолженности по выплате гарантийного удержания по договору поставки от 22.01.2015 № 01/ЯКГР/14-279 (далее – договор).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договора, учитывая факт поставки обществом оборудования с недостатками, руководствуясь статьями 309 , 310 , 421 , 431 Гражданского кодекса Российской Федерации, суды первой и апелляционной инстанций пришли к выводу о недоказанности истцом оснований для выплаты ответчиком гарантийного платежа, в связи с чем отказали в удовлетворении иска. Суд округа согласился с выводами судов первой и апелляционной инстанций. С учетом установленных фактических обстоятельств настоящего дела доводы заявителя, изложенные в кассационной жалобе, не подтверждают существенных нарушений судами апелляционной инстанции и округа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«Воронеж-Аква»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Воронеж-Аква (подробнее) Ответчики: АО "ТЕПЛОЭНЕРГЕТИЧЕСКАЯ КОМПАНИЯ МОСЭНЕРГО"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