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«Финансово- промышленная группа Полар строй дизайн» обратилось в Арбитражный суд города Москвы к Департаменту городского имущества города Москвы (далее – Департамент) и Управлению Федеральной службы государственной регистрации, кадастра и картографии по Москве с иском, уточненным в порядке статьи 49 Арбитражного процессуального кодекса Российской Федерации (далее – АПК РФ), о признании отсутствующим права собственности Департамента на часть нежилого помещения - техническое подполье, общей площадью 200 кв. м с кадастровым номером 77:05:0001009:7407, расположенного по адресу: &lt;...&gt;, на момент заключения договора купли-продажи от 09.02.2015 № 59-1626, а также об исключении из ЕГРН записи о государственной регистрации права собственности от 12.11.2004 № 77-01/06-1122/2004-11 Департамента на часть нежилого помещениятехническое подполье, общей площадью 200 кв. м с кадастровым номером 77:05:0001009:7407, расположенного по адресу: &lt;...&gt;. В порядке статьи 48 АПК РФ произведена замена ООО «Финансово- промышленная группа Полар строй дизайн» на ООО «Полар строй» (далее – Общество). Решением Арбитражного суда города Москвы от 15.07.2019, оставленным без изменения постановлением Девятого арбитражного апелляционного суда от 11.12.2019 и постановлением Арбитражного суда Московского округа от 18.03.2020,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избрание надлежащего способа защиты права; на неправомерность выводов судебных инстанций об истечении срока исковой давности по заявленным требованиям.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09.02.2015 между Департаментом (продавец) и Обществом (покупатель) заключен договор № 59-1626 купли- продажи нежилого помещения площадью 360,5 кв. м, расположенного по адресу: &lt;...&gt;. Право собственности города Москвы на помещение было зарегистрировано с 12.11.2004. В обоснование требований Общество указало, что часть выкупленного помещения общей площадью 200 кв. м - техническое подполье является общедомовым имуществом, в связи с чем право собственности на момент совершения договора купли-продажи имущества нарушало права истца. Исследовав и оценив по правилам статьи 71 АПК РФ представленные доказательства, руководствуясь статьей 12 Гражданского кодекса Российской Федерации и разъяснениями, содержащимися в пункте 52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 ввиду избрания Обществом ненадлежащего способа защиты, отметив, что истец как владеющий собственник не исчерпал возможности для восстановления нарушенного права. Руководствуясь статьями 195 , 196 , 199 Гражданского кодекса, судебные инстанции также пришли к выводу о пропуске истцом срока исковой давности, поскольку Общество, владея помещением на правах арендатора (до его выкупа), не могло не знать, что спорное имущество является собственностью города Москвы с 2004 года, тогда как с настоящими требованиями обратился только 10.10.2018.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«Полар 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"КАСПЕР ПЛЮС" (подробнее) ООО "Полар строй"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