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22.08.2019, оставленным без изменения постановлением Десятого арбитражного апелляционного суда от 07.11.2019 и постановлением Арбитражного суда Московского округа от 12.03.2020, в иске отказано. В кассационной жалобе общество «Алмаз-Антей Строй» просит о пересмотре судебных актов как нарушающих нормы права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«Алмаз-Антей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Инспекция Министерства Российской Федерации по налогам и сборам по г. Красногорск Московской области (подробнее) ООО "Алмаз-Антей Строй" (подробнее) Ответчики: ООО "Строй Монтаж"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