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города Москвы с иском к обществу с ограниченной ответственностью «ТМК Гранд» о взыскании 950 000 рублей задолженности и 12 767 рублей 12 копеек процентов за пользование чужими денежными средствами. Решением Арбитражного суда города Москвы от 24.07.2019, оставленным без изменения постановлением Девятого арбитражного апелляционного суда от 10.10.2019 и постановлением Арбитражного суда Московского округа от 30.01.2020,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Предпринимателем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Срок подачи кассационной жалобы на решение Арбитражного суда города Москвы от 24.07.2019, постановление Девятого арбитражного апелляционного суда от 10.10.2019 и постановление Арбитражного суда Московского округа от 30.01.2020 по делу № А40-36181/2019 восстановить. Судья Верховного Суда Российской Федерации Н.С. Чучунова Суд: Верховный Суд РФ (подробнее) Истцы: ИП Катков П.А. (подробнее) Ответчики: ООО "ТМК ГРАНД" (подробнее) Судьи дела: Чучунова Н.С. (судья) (подробнее) Последние документы по делу: Определение от 30 июня 2020 г. по делу № А40-36181/2019 Определение от 25 мая 2020 г. по делу № А40-36181/2019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