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31.05.2019, оставленным без изменения постановлением Девятого арбитражного апелляционного суда от 29.08.2019, взыскано 3 984 715 рублей процентов за пользование чужими денежными средствами. Арбитражный суд Московского округа постановлением от 10.12.2019 решение от 31.05.2019 и постановление Девятого арбитражного апелляционного суда от 29.08.2019 оставил без изменения. В кассационной жалобе общество «Фортесс» просит об отмене судебных актов, указывая, что заявленные убытки являются основанной на общих нормах гражданского законодательства ответственностью за несвоевременную выплату страхового возмещения и такая ответственность договором не ограничена.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ответчиком допущено нарушение срока выплаты страхового возмещения, за которое применена ответственность за неисполнение денежного обязательства (статья 395 Гражданского кодекса Российской Федерации): взысканы проценты со следующего за отказом в выплате дня до дня фактической уплаты причитающейся выплаты. Условие договора страхования передвижного оборудования и специальной техники от 08.07.2016 № 003-102-000695/16 о невозмещении страховщиком упущенной выгоды, простоя, потери дохода и других косвенных и коммерческих потерь, убытков и расходов истолковано судами как ограничение ответственности страховщика, допускаемого по соглашению сторон в силу статьи 421 Гражданского кодекса Российской Федерации. В ситуации взыскания процентов, носящих компенсационный характер, судебные акты в отношении убытков в виде неполученного дохода нельзя считать противоречащими закону.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«Фортесс»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"ФОРТЕСС" (подробнее) Ответчики: ООО "Абсолют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